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5E" w:rsidRPr="00E72294" w:rsidRDefault="007E125E" w:rsidP="007E125E">
      <w:pPr>
        <w:rPr>
          <w:rFonts w:cstheme="minorHAnsi"/>
        </w:rPr>
      </w:pPr>
      <w:bookmarkStart w:id="0" w:name="_GoBack"/>
      <w:bookmarkEnd w:id="0"/>
      <w:r w:rsidRPr="00E72294">
        <w:rPr>
          <w:rFonts w:cstheme="minorHAnsi"/>
          <w:b/>
          <w:i/>
          <w:u w:val="single"/>
        </w:rPr>
        <w:t>FOR IMMEDIATE RELEASE:</w:t>
      </w:r>
      <w:r w:rsidR="000A5785" w:rsidRPr="00E72294">
        <w:rPr>
          <w:rFonts w:cstheme="minorHAnsi"/>
        </w:rPr>
        <w:t xml:space="preserve"> </w:t>
      </w:r>
      <w:r w:rsidR="005B5316">
        <w:rPr>
          <w:rFonts w:cstheme="minorHAnsi"/>
        </w:rPr>
        <w:t>Tuesday</w:t>
      </w:r>
      <w:r w:rsidR="000A5785" w:rsidRPr="00E72294">
        <w:rPr>
          <w:rFonts w:cstheme="minorHAnsi"/>
        </w:rPr>
        <w:t>,</w:t>
      </w:r>
      <w:r w:rsidR="005B5316">
        <w:rPr>
          <w:rFonts w:cstheme="minorHAnsi"/>
        </w:rPr>
        <w:t xml:space="preserve"> July 7,</w:t>
      </w:r>
      <w:r w:rsidR="000A5785" w:rsidRPr="00E72294">
        <w:rPr>
          <w:rFonts w:cstheme="minorHAnsi"/>
        </w:rPr>
        <w:t xml:space="preserve"> 2015 </w:t>
      </w:r>
    </w:p>
    <w:p w:rsidR="000A5785" w:rsidRPr="00E72294" w:rsidRDefault="000A5785" w:rsidP="007E125E">
      <w:pPr>
        <w:rPr>
          <w:rFonts w:cstheme="minorHAnsi"/>
        </w:rPr>
      </w:pPr>
    </w:p>
    <w:p w:rsidR="00754355" w:rsidRPr="00E72294" w:rsidRDefault="00491996" w:rsidP="00B31DE8">
      <w:pPr>
        <w:jc w:val="center"/>
        <w:rPr>
          <w:rFonts w:cstheme="minorHAnsi"/>
          <w:b/>
          <w:sz w:val="24"/>
          <w:szCs w:val="24"/>
        </w:rPr>
      </w:pPr>
      <w:r w:rsidRPr="00E72294">
        <w:rPr>
          <w:rFonts w:cstheme="minorHAnsi"/>
          <w:b/>
          <w:sz w:val="24"/>
          <w:szCs w:val="24"/>
        </w:rPr>
        <w:t>F</w:t>
      </w:r>
      <w:r w:rsidR="009E261A" w:rsidRPr="00E72294">
        <w:rPr>
          <w:rFonts w:cstheme="minorHAnsi"/>
          <w:b/>
          <w:sz w:val="24"/>
          <w:szCs w:val="24"/>
        </w:rPr>
        <w:t xml:space="preserve">oundations </w:t>
      </w:r>
      <w:r w:rsidRPr="00E72294">
        <w:rPr>
          <w:rFonts w:cstheme="minorHAnsi"/>
          <w:b/>
          <w:sz w:val="24"/>
          <w:szCs w:val="24"/>
        </w:rPr>
        <w:t>work to</w:t>
      </w:r>
      <w:r w:rsidR="009E261A" w:rsidRPr="00E72294">
        <w:rPr>
          <w:rFonts w:cstheme="minorHAnsi"/>
          <w:b/>
          <w:sz w:val="24"/>
          <w:szCs w:val="24"/>
        </w:rPr>
        <w:t xml:space="preserve"> close higher education gap through associate’s degree-attainment effort </w:t>
      </w:r>
    </w:p>
    <w:p w:rsidR="009E261A" w:rsidRPr="00E72294" w:rsidRDefault="009E261A" w:rsidP="00B31DE8">
      <w:pPr>
        <w:jc w:val="center"/>
        <w:rPr>
          <w:rFonts w:cstheme="minorHAnsi"/>
          <w:i/>
        </w:rPr>
      </w:pPr>
    </w:p>
    <w:p w:rsidR="000562D0" w:rsidRPr="00E72294" w:rsidRDefault="009E261A" w:rsidP="00B31DE8">
      <w:pPr>
        <w:jc w:val="center"/>
        <w:rPr>
          <w:rFonts w:cstheme="minorHAnsi"/>
          <w:i/>
        </w:rPr>
      </w:pPr>
      <w:r w:rsidRPr="00E72294">
        <w:rPr>
          <w:rFonts w:cstheme="minorHAnsi"/>
          <w:i/>
        </w:rPr>
        <w:t xml:space="preserve">-7,000 students </w:t>
      </w:r>
      <w:r w:rsidR="00491996" w:rsidRPr="00E72294">
        <w:rPr>
          <w:rFonts w:cstheme="minorHAnsi"/>
          <w:i/>
        </w:rPr>
        <w:t>were awarded associate’s</w:t>
      </w:r>
      <w:r w:rsidRPr="00E72294">
        <w:rPr>
          <w:rFonts w:cstheme="minorHAnsi"/>
          <w:i/>
        </w:rPr>
        <w:t xml:space="preserve"> degrees</w:t>
      </w:r>
      <w:r w:rsidRPr="00E72294">
        <w:rPr>
          <w:rFonts w:cstheme="minorHAnsi"/>
        </w:rPr>
        <w:t xml:space="preserve"> </w:t>
      </w:r>
      <w:r w:rsidRPr="00E72294">
        <w:rPr>
          <w:rFonts w:cstheme="minorHAnsi"/>
          <w:i/>
        </w:rPr>
        <w:t>over 15-month initiative-</w:t>
      </w:r>
    </w:p>
    <w:p w:rsidR="00852D14" w:rsidRPr="00E72294" w:rsidRDefault="00852D14">
      <w:pPr>
        <w:rPr>
          <w:rFonts w:cstheme="minorHAnsi"/>
        </w:rPr>
      </w:pPr>
    </w:p>
    <w:p w:rsidR="00BC080E" w:rsidRPr="00B613B7" w:rsidRDefault="000A5785" w:rsidP="009019A4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t>INDIANAPOLIS—</w:t>
      </w:r>
      <w:r w:rsidR="00E345F3" w:rsidRPr="00B613B7">
        <w:rPr>
          <w:rFonts w:cstheme="minorHAnsi"/>
          <w:sz w:val="24"/>
          <w:szCs w:val="24"/>
        </w:rPr>
        <w:t xml:space="preserve"> S</w:t>
      </w:r>
      <w:r w:rsidR="00BC080E" w:rsidRPr="00B613B7">
        <w:rPr>
          <w:rFonts w:cstheme="minorHAnsi"/>
          <w:sz w:val="24"/>
          <w:szCs w:val="24"/>
        </w:rPr>
        <w:t xml:space="preserve">ix major foundations today announced results from </w:t>
      </w:r>
      <w:r w:rsidR="00E345F3" w:rsidRPr="00B613B7">
        <w:rPr>
          <w:rFonts w:cstheme="minorHAnsi"/>
          <w:sz w:val="24"/>
          <w:szCs w:val="24"/>
        </w:rPr>
        <w:t>a joint</w:t>
      </w:r>
      <w:r w:rsidR="00BC080E" w:rsidRPr="00B613B7">
        <w:rPr>
          <w:rFonts w:cstheme="minorHAnsi"/>
          <w:sz w:val="24"/>
          <w:szCs w:val="24"/>
        </w:rPr>
        <w:t xml:space="preserve"> initiative to </w:t>
      </w:r>
      <w:r w:rsidR="00E726D9" w:rsidRPr="00B613B7">
        <w:rPr>
          <w:rFonts w:cstheme="minorHAnsi"/>
          <w:sz w:val="24"/>
          <w:szCs w:val="24"/>
        </w:rPr>
        <w:t>increase postsecondary attainment by easing</w:t>
      </w:r>
      <w:r w:rsidR="00BC080E" w:rsidRPr="00B613B7">
        <w:rPr>
          <w:rFonts w:cstheme="minorHAnsi"/>
          <w:sz w:val="24"/>
          <w:szCs w:val="24"/>
        </w:rPr>
        <w:t xml:space="preserve"> the path to </w:t>
      </w:r>
      <w:r w:rsidR="003B31D9" w:rsidRPr="00B613B7">
        <w:rPr>
          <w:rFonts w:cstheme="minorHAnsi"/>
          <w:sz w:val="24"/>
          <w:szCs w:val="24"/>
        </w:rPr>
        <w:t>completing</w:t>
      </w:r>
      <w:r w:rsidR="00BC080E" w:rsidRPr="00B613B7">
        <w:rPr>
          <w:rFonts w:cstheme="minorHAnsi"/>
          <w:sz w:val="24"/>
          <w:szCs w:val="24"/>
        </w:rPr>
        <w:t xml:space="preserve"> associate’s degrees. </w:t>
      </w:r>
      <w:r w:rsidR="00741388" w:rsidRPr="00B613B7">
        <w:rPr>
          <w:rFonts w:cstheme="minorHAnsi"/>
          <w:sz w:val="24"/>
          <w:szCs w:val="24"/>
        </w:rPr>
        <w:t>Over its 15-month duration</w:t>
      </w:r>
      <w:r w:rsidR="00BC080E" w:rsidRPr="00B613B7">
        <w:rPr>
          <w:rFonts w:cstheme="minorHAnsi"/>
          <w:sz w:val="24"/>
          <w:szCs w:val="24"/>
        </w:rPr>
        <w:t>,</w:t>
      </w:r>
      <w:r w:rsidR="00491996" w:rsidRPr="00B613B7">
        <w:rPr>
          <w:rFonts w:cstheme="minorHAnsi"/>
          <w:sz w:val="24"/>
          <w:szCs w:val="24"/>
        </w:rPr>
        <w:t xml:space="preserve"> the program,</w:t>
      </w:r>
      <w:r w:rsidR="00BC080E" w:rsidRPr="00B613B7">
        <w:rPr>
          <w:rFonts w:cstheme="minorHAnsi"/>
          <w:sz w:val="24"/>
          <w:szCs w:val="24"/>
        </w:rPr>
        <w:t xml:space="preserve"> </w:t>
      </w:r>
      <w:r w:rsidR="00BC080E" w:rsidRPr="00B613B7">
        <w:rPr>
          <w:rFonts w:cstheme="minorHAnsi"/>
          <w:i/>
          <w:sz w:val="24"/>
          <w:szCs w:val="24"/>
        </w:rPr>
        <w:t>Credit When It’</w:t>
      </w:r>
      <w:r w:rsidR="00E345F3" w:rsidRPr="00B613B7">
        <w:rPr>
          <w:rFonts w:cstheme="minorHAnsi"/>
          <w:i/>
          <w:sz w:val="24"/>
          <w:szCs w:val="24"/>
        </w:rPr>
        <w:t>s Due</w:t>
      </w:r>
      <w:r w:rsidR="00491996" w:rsidRPr="00B613B7">
        <w:rPr>
          <w:rFonts w:cstheme="minorHAnsi"/>
          <w:i/>
          <w:sz w:val="24"/>
          <w:szCs w:val="24"/>
        </w:rPr>
        <w:t>,</w:t>
      </w:r>
      <w:r w:rsidR="002A5A8C" w:rsidRPr="00B613B7">
        <w:rPr>
          <w:rFonts w:cstheme="minorHAnsi"/>
          <w:sz w:val="24"/>
          <w:szCs w:val="24"/>
        </w:rPr>
        <w:t xml:space="preserve"> </w:t>
      </w:r>
      <w:r w:rsidR="00BC080E" w:rsidRPr="00B613B7">
        <w:rPr>
          <w:rFonts w:cstheme="minorHAnsi"/>
          <w:sz w:val="24"/>
          <w:szCs w:val="24"/>
        </w:rPr>
        <w:t>enabled 7,000 students from 11 states to secure associate’s degrees</w:t>
      </w:r>
      <w:r w:rsidR="00E345F3" w:rsidRPr="00B613B7">
        <w:rPr>
          <w:rFonts w:cstheme="minorHAnsi"/>
          <w:sz w:val="24"/>
          <w:szCs w:val="24"/>
        </w:rPr>
        <w:t xml:space="preserve"> –</w:t>
      </w:r>
      <w:r w:rsidR="00491996" w:rsidRPr="00B613B7">
        <w:rPr>
          <w:rFonts w:cstheme="minorHAnsi"/>
          <w:sz w:val="24"/>
          <w:szCs w:val="24"/>
        </w:rPr>
        <w:t xml:space="preserve">helping to </w:t>
      </w:r>
      <w:r w:rsidR="00173394" w:rsidRPr="00B613B7">
        <w:rPr>
          <w:rFonts w:cstheme="minorHAnsi"/>
          <w:sz w:val="24"/>
          <w:szCs w:val="24"/>
        </w:rPr>
        <w:t>reduc</w:t>
      </w:r>
      <w:r w:rsidR="00491996" w:rsidRPr="00B613B7">
        <w:rPr>
          <w:rFonts w:cstheme="minorHAnsi"/>
          <w:sz w:val="24"/>
          <w:szCs w:val="24"/>
        </w:rPr>
        <w:t>e</w:t>
      </w:r>
      <w:r w:rsidR="00173394" w:rsidRPr="00B613B7">
        <w:rPr>
          <w:rFonts w:cstheme="minorHAnsi"/>
          <w:sz w:val="24"/>
          <w:szCs w:val="24"/>
        </w:rPr>
        <w:t xml:space="preserve"> the sizable ranks</w:t>
      </w:r>
      <w:r w:rsidR="00E345F3" w:rsidRPr="00B613B7">
        <w:rPr>
          <w:rFonts w:cstheme="minorHAnsi"/>
          <w:sz w:val="24"/>
          <w:szCs w:val="24"/>
        </w:rPr>
        <w:t xml:space="preserve"> of Americans with some college but no degree</w:t>
      </w:r>
      <w:r w:rsidR="00717E12" w:rsidRPr="00B613B7">
        <w:rPr>
          <w:rFonts w:cstheme="minorHAnsi"/>
          <w:sz w:val="24"/>
          <w:szCs w:val="24"/>
        </w:rPr>
        <w:t>.</w:t>
      </w:r>
      <w:r w:rsidR="00741388" w:rsidRPr="00B613B7">
        <w:rPr>
          <w:rFonts w:cstheme="minorHAnsi"/>
          <w:sz w:val="24"/>
          <w:szCs w:val="24"/>
        </w:rPr>
        <w:t xml:space="preserve"> </w:t>
      </w:r>
    </w:p>
    <w:p w:rsidR="00BC080E" w:rsidRPr="00B613B7" w:rsidRDefault="00BC080E" w:rsidP="009019A4">
      <w:pPr>
        <w:rPr>
          <w:rFonts w:cstheme="minorHAnsi"/>
          <w:sz w:val="24"/>
          <w:szCs w:val="24"/>
        </w:rPr>
      </w:pPr>
    </w:p>
    <w:p w:rsidR="00491996" w:rsidRPr="00B613B7" w:rsidRDefault="00E345F3" w:rsidP="009019A4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t xml:space="preserve">Across the U.S., many students transfer from community colleges to four-year universities without having completed their associate’s degrees. </w:t>
      </w:r>
      <w:r w:rsidRPr="00B613B7">
        <w:rPr>
          <w:rFonts w:cstheme="minorHAnsi"/>
          <w:i/>
          <w:sz w:val="24"/>
          <w:szCs w:val="24"/>
        </w:rPr>
        <w:t>Credit When It’s Due</w:t>
      </w:r>
      <w:r w:rsidRPr="00B613B7">
        <w:rPr>
          <w:rFonts w:cstheme="minorHAnsi"/>
          <w:sz w:val="24"/>
          <w:szCs w:val="24"/>
        </w:rPr>
        <w:t xml:space="preserve"> allows those transfer students to </w:t>
      </w:r>
      <w:r w:rsidR="003B31D9" w:rsidRPr="00B613B7">
        <w:rPr>
          <w:rFonts w:cstheme="minorHAnsi"/>
          <w:sz w:val="24"/>
          <w:szCs w:val="24"/>
        </w:rPr>
        <w:t>lock in</w:t>
      </w:r>
      <w:r w:rsidRPr="00B613B7">
        <w:rPr>
          <w:rFonts w:cstheme="minorHAnsi"/>
          <w:sz w:val="24"/>
          <w:szCs w:val="24"/>
        </w:rPr>
        <w:t xml:space="preserve"> their associate’s credentials once they’ve completed the necessary credits</w:t>
      </w:r>
      <w:r w:rsidR="00491996" w:rsidRPr="00B613B7">
        <w:rPr>
          <w:rFonts w:cstheme="minorHAnsi"/>
          <w:sz w:val="24"/>
          <w:szCs w:val="24"/>
        </w:rPr>
        <w:t xml:space="preserve"> –a</w:t>
      </w:r>
      <w:r w:rsidR="009D5715" w:rsidRPr="00B613B7">
        <w:rPr>
          <w:rFonts w:cstheme="minorHAnsi"/>
          <w:sz w:val="24"/>
          <w:szCs w:val="24"/>
        </w:rPr>
        <w:t xml:space="preserve"> process</w:t>
      </w:r>
      <w:r w:rsidR="00491996" w:rsidRPr="00B613B7">
        <w:rPr>
          <w:rFonts w:cstheme="minorHAnsi"/>
          <w:sz w:val="24"/>
          <w:szCs w:val="24"/>
        </w:rPr>
        <w:t xml:space="preserve"> </w:t>
      </w:r>
      <w:r w:rsidR="009D5715" w:rsidRPr="00B613B7">
        <w:rPr>
          <w:rFonts w:cstheme="minorHAnsi"/>
          <w:sz w:val="24"/>
          <w:szCs w:val="24"/>
        </w:rPr>
        <w:t>known as reverse transfer</w:t>
      </w:r>
      <w:r w:rsidR="00491996" w:rsidRPr="00B613B7">
        <w:rPr>
          <w:rFonts w:cstheme="minorHAnsi"/>
          <w:sz w:val="24"/>
          <w:szCs w:val="24"/>
        </w:rPr>
        <w:t xml:space="preserve">. The six organizations that fund the initiative include the Bill &amp; Melinda Gates Foundation, Greater Texas Foundation, Helios </w:t>
      </w:r>
      <w:r w:rsidR="0027538E">
        <w:rPr>
          <w:rFonts w:cstheme="minorHAnsi"/>
          <w:sz w:val="24"/>
          <w:szCs w:val="24"/>
        </w:rPr>
        <w:t xml:space="preserve">Education </w:t>
      </w:r>
      <w:r w:rsidR="00491996" w:rsidRPr="00B613B7">
        <w:rPr>
          <w:rFonts w:cstheme="minorHAnsi"/>
          <w:sz w:val="24"/>
          <w:szCs w:val="24"/>
        </w:rPr>
        <w:t>Foundation, The Kresge Foundation, Lumina Foundation and USA Funds.</w:t>
      </w:r>
    </w:p>
    <w:p w:rsidR="00491996" w:rsidRPr="00B613B7" w:rsidRDefault="00491996" w:rsidP="009019A4">
      <w:pPr>
        <w:rPr>
          <w:rFonts w:cstheme="minorHAnsi"/>
          <w:sz w:val="24"/>
          <w:szCs w:val="24"/>
        </w:rPr>
      </w:pPr>
    </w:p>
    <w:p w:rsidR="003B31D9" w:rsidRPr="00B613B7" w:rsidRDefault="00491996" w:rsidP="009019A4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t>Reverse transfer</w:t>
      </w:r>
      <w:r w:rsidR="009D5715" w:rsidRPr="00B613B7">
        <w:rPr>
          <w:rFonts w:cstheme="minorHAnsi"/>
          <w:sz w:val="24"/>
          <w:szCs w:val="24"/>
        </w:rPr>
        <w:t xml:space="preserve"> is</w:t>
      </w:r>
      <w:r w:rsidRPr="00B613B7">
        <w:rPr>
          <w:rFonts w:cstheme="minorHAnsi"/>
          <w:sz w:val="24"/>
          <w:szCs w:val="24"/>
        </w:rPr>
        <w:t xml:space="preserve"> </w:t>
      </w:r>
      <w:r w:rsidR="008335CB" w:rsidRPr="00B613B7">
        <w:rPr>
          <w:rFonts w:cstheme="minorHAnsi"/>
          <w:sz w:val="24"/>
          <w:szCs w:val="24"/>
        </w:rPr>
        <w:t xml:space="preserve">important </w:t>
      </w:r>
      <w:r w:rsidR="00BD43EC" w:rsidRPr="00B613B7">
        <w:rPr>
          <w:rFonts w:cstheme="minorHAnsi"/>
          <w:sz w:val="24"/>
          <w:szCs w:val="24"/>
        </w:rPr>
        <w:t xml:space="preserve">because it </w:t>
      </w:r>
      <w:r w:rsidR="008335CB" w:rsidRPr="00B613B7">
        <w:rPr>
          <w:rFonts w:cstheme="minorHAnsi"/>
          <w:sz w:val="24"/>
          <w:szCs w:val="24"/>
        </w:rPr>
        <w:t>ensure</w:t>
      </w:r>
      <w:r w:rsidR="00E726D9" w:rsidRPr="00B613B7">
        <w:rPr>
          <w:rFonts w:cstheme="minorHAnsi"/>
          <w:sz w:val="24"/>
          <w:szCs w:val="24"/>
        </w:rPr>
        <w:t>s</w:t>
      </w:r>
      <w:r w:rsidR="008335CB" w:rsidRPr="00B613B7">
        <w:rPr>
          <w:rFonts w:cstheme="minorHAnsi"/>
          <w:sz w:val="24"/>
          <w:szCs w:val="24"/>
        </w:rPr>
        <w:t xml:space="preserve"> that </w:t>
      </w:r>
      <w:r w:rsidR="00BD43EC" w:rsidRPr="00B613B7">
        <w:rPr>
          <w:rFonts w:cstheme="minorHAnsi"/>
          <w:sz w:val="24"/>
          <w:szCs w:val="24"/>
        </w:rPr>
        <w:t xml:space="preserve">community-college </w:t>
      </w:r>
      <w:r w:rsidR="008335CB" w:rsidRPr="00B613B7">
        <w:rPr>
          <w:rFonts w:cstheme="minorHAnsi"/>
          <w:sz w:val="24"/>
          <w:szCs w:val="24"/>
        </w:rPr>
        <w:t xml:space="preserve">transfer students who </w:t>
      </w:r>
      <w:r w:rsidR="00236F1F" w:rsidRPr="00B613B7">
        <w:rPr>
          <w:rFonts w:cstheme="minorHAnsi"/>
          <w:sz w:val="24"/>
          <w:szCs w:val="24"/>
        </w:rPr>
        <w:t>end up not finishing</w:t>
      </w:r>
      <w:r w:rsidR="008335CB" w:rsidRPr="00B613B7">
        <w:rPr>
          <w:rFonts w:cstheme="minorHAnsi"/>
          <w:sz w:val="24"/>
          <w:szCs w:val="24"/>
        </w:rPr>
        <w:t xml:space="preserve"> their bachelor’s </w:t>
      </w:r>
      <w:r w:rsidR="00E726D9" w:rsidRPr="00B613B7">
        <w:rPr>
          <w:rFonts w:cstheme="minorHAnsi"/>
          <w:sz w:val="24"/>
          <w:szCs w:val="24"/>
        </w:rPr>
        <w:t xml:space="preserve">degrees </w:t>
      </w:r>
      <w:r w:rsidR="00236F1F" w:rsidRPr="00B613B7">
        <w:rPr>
          <w:rFonts w:cstheme="minorHAnsi"/>
          <w:sz w:val="24"/>
          <w:szCs w:val="24"/>
        </w:rPr>
        <w:t>emerge from college with some form of postsecondary credential</w:t>
      </w:r>
      <w:r w:rsidR="00BD43EC" w:rsidRPr="00B613B7">
        <w:rPr>
          <w:rFonts w:cstheme="minorHAnsi"/>
          <w:sz w:val="24"/>
          <w:szCs w:val="24"/>
        </w:rPr>
        <w:t>, rather than debt but no degree</w:t>
      </w:r>
      <w:r w:rsidRPr="00B613B7">
        <w:rPr>
          <w:rFonts w:cstheme="minorHAnsi"/>
          <w:sz w:val="24"/>
          <w:szCs w:val="24"/>
        </w:rPr>
        <w:t xml:space="preserve">. </w:t>
      </w:r>
      <w:r w:rsidR="008335CB" w:rsidRPr="00B613B7">
        <w:rPr>
          <w:rFonts w:cstheme="minorHAnsi"/>
          <w:sz w:val="24"/>
          <w:szCs w:val="24"/>
        </w:rPr>
        <w:t>Of</w:t>
      </w:r>
      <w:r w:rsidR="00B613B7">
        <w:rPr>
          <w:rFonts w:cstheme="minorHAnsi"/>
          <w:sz w:val="24"/>
          <w:szCs w:val="24"/>
        </w:rPr>
        <w:t xml:space="preserve"> all</w:t>
      </w:r>
      <w:r w:rsidR="008335CB" w:rsidRPr="00B613B7">
        <w:rPr>
          <w:rFonts w:cstheme="minorHAnsi"/>
          <w:sz w:val="24"/>
          <w:szCs w:val="24"/>
        </w:rPr>
        <w:t xml:space="preserve"> students </w:t>
      </w:r>
      <w:r w:rsidR="00B613B7">
        <w:rPr>
          <w:rFonts w:cstheme="minorHAnsi"/>
          <w:sz w:val="24"/>
          <w:szCs w:val="24"/>
        </w:rPr>
        <w:t xml:space="preserve">nationally </w:t>
      </w:r>
      <w:r w:rsidR="008335CB" w:rsidRPr="00B613B7">
        <w:rPr>
          <w:rFonts w:cstheme="minorHAnsi"/>
          <w:sz w:val="24"/>
          <w:szCs w:val="24"/>
        </w:rPr>
        <w:t>who started at community colleges in 2008, just 16 percent completed a degree at a four-year institution within six years</w:t>
      </w:r>
      <w:r w:rsidRPr="00B613B7">
        <w:rPr>
          <w:rFonts w:cstheme="minorHAnsi"/>
          <w:sz w:val="24"/>
          <w:szCs w:val="24"/>
        </w:rPr>
        <w:t>.</w:t>
      </w:r>
      <w:r w:rsidR="00236F1F" w:rsidRPr="00B613B7">
        <w:rPr>
          <w:rFonts w:cstheme="minorHAnsi"/>
          <w:sz w:val="24"/>
          <w:szCs w:val="24"/>
        </w:rPr>
        <w:t xml:space="preserve"> A</w:t>
      </w:r>
      <w:r w:rsidR="00BD43EC" w:rsidRPr="00B613B7">
        <w:rPr>
          <w:rFonts w:cstheme="minorHAnsi"/>
          <w:sz w:val="24"/>
          <w:szCs w:val="24"/>
        </w:rPr>
        <w:t xml:space="preserve">ddressing this challenge is a key part of </w:t>
      </w:r>
      <w:r w:rsidR="004D10E3" w:rsidRPr="00B613B7">
        <w:rPr>
          <w:rFonts w:cstheme="minorHAnsi"/>
          <w:sz w:val="24"/>
          <w:szCs w:val="24"/>
        </w:rPr>
        <w:t>increasing</w:t>
      </w:r>
      <w:r w:rsidR="00236F1F" w:rsidRPr="00B613B7">
        <w:rPr>
          <w:rFonts w:cstheme="minorHAnsi"/>
          <w:sz w:val="24"/>
          <w:szCs w:val="24"/>
        </w:rPr>
        <w:t xml:space="preserve"> the percentage </w:t>
      </w:r>
      <w:r w:rsidR="002A5A8C" w:rsidRPr="00B613B7">
        <w:rPr>
          <w:rFonts w:cstheme="minorHAnsi"/>
          <w:sz w:val="24"/>
          <w:szCs w:val="24"/>
        </w:rPr>
        <w:t xml:space="preserve">of Americans with </w:t>
      </w:r>
      <w:r w:rsidR="00BD43EC" w:rsidRPr="00B613B7">
        <w:rPr>
          <w:rFonts w:cstheme="minorHAnsi"/>
          <w:sz w:val="24"/>
          <w:szCs w:val="24"/>
        </w:rPr>
        <w:t xml:space="preserve">an </w:t>
      </w:r>
      <w:r w:rsidR="002A5A8C" w:rsidRPr="00B613B7">
        <w:rPr>
          <w:rFonts w:cstheme="minorHAnsi"/>
          <w:sz w:val="24"/>
          <w:szCs w:val="24"/>
        </w:rPr>
        <w:t>education beyond high school.</w:t>
      </w:r>
    </w:p>
    <w:p w:rsidR="004D10E3" w:rsidRPr="00B613B7" w:rsidRDefault="004D10E3" w:rsidP="004D10E3">
      <w:pPr>
        <w:rPr>
          <w:rFonts w:cstheme="minorHAnsi"/>
          <w:sz w:val="24"/>
          <w:szCs w:val="24"/>
        </w:rPr>
      </w:pPr>
    </w:p>
    <w:p w:rsidR="004D10E3" w:rsidRPr="00B613B7" w:rsidRDefault="004D10E3" w:rsidP="004D10E3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t>“If we’re to advance as a nation, we must ensure that more Americans are equipped for success and productivity in an economy that demands higher education credentials,” said William Mose</w:t>
      </w:r>
      <w:r w:rsidR="00E72294" w:rsidRPr="00B613B7">
        <w:rPr>
          <w:rFonts w:cstheme="minorHAnsi"/>
          <w:sz w:val="24"/>
          <w:szCs w:val="24"/>
        </w:rPr>
        <w:t xml:space="preserve">s, Managing Director-Education at </w:t>
      </w:r>
      <w:r w:rsidRPr="00B613B7">
        <w:rPr>
          <w:rFonts w:cstheme="minorHAnsi"/>
          <w:sz w:val="24"/>
          <w:szCs w:val="24"/>
        </w:rPr>
        <w:t xml:space="preserve">The Kresge Foundation. “While increasing bachelor’s attainment should be a key priority, </w:t>
      </w:r>
      <w:r w:rsidR="00E72294" w:rsidRPr="00B613B7">
        <w:rPr>
          <w:rFonts w:cstheme="minorHAnsi"/>
          <w:sz w:val="24"/>
          <w:szCs w:val="24"/>
        </w:rPr>
        <w:t>making it more seamless for students to secure their</w:t>
      </w:r>
      <w:r w:rsidRPr="00B613B7">
        <w:rPr>
          <w:rFonts w:cstheme="minorHAnsi"/>
          <w:sz w:val="24"/>
          <w:szCs w:val="24"/>
        </w:rPr>
        <w:t xml:space="preserve"> associate’s degree</w:t>
      </w:r>
      <w:r w:rsidR="00E72294" w:rsidRPr="00B613B7">
        <w:rPr>
          <w:rFonts w:cstheme="minorHAnsi"/>
          <w:sz w:val="24"/>
          <w:szCs w:val="24"/>
        </w:rPr>
        <w:t>s equips those students with opportunities to thrive in work and</w:t>
      </w:r>
      <w:r w:rsidR="00BD43EC" w:rsidRPr="00B613B7">
        <w:rPr>
          <w:rFonts w:cstheme="minorHAnsi"/>
          <w:sz w:val="24"/>
          <w:szCs w:val="24"/>
        </w:rPr>
        <w:t xml:space="preserve"> in</w:t>
      </w:r>
      <w:r w:rsidR="00E72294" w:rsidRPr="00B613B7">
        <w:rPr>
          <w:rFonts w:cstheme="minorHAnsi"/>
          <w:sz w:val="24"/>
          <w:szCs w:val="24"/>
        </w:rPr>
        <w:t xml:space="preserve"> life</w:t>
      </w:r>
      <w:r w:rsidRPr="00B613B7">
        <w:rPr>
          <w:rFonts w:cstheme="minorHAnsi"/>
          <w:sz w:val="24"/>
          <w:szCs w:val="24"/>
        </w:rPr>
        <w:t>.”</w:t>
      </w:r>
    </w:p>
    <w:p w:rsidR="002A5A8C" w:rsidRPr="00B613B7" w:rsidRDefault="002A5A8C" w:rsidP="009019A4">
      <w:pPr>
        <w:rPr>
          <w:rFonts w:cstheme="minorHAnsi"/>
          <w:sz w:val="24"/>
          <w:szCs w:val="24"/>
        </w:rPr>
      </w:pPr>
    </w:p>
    <w:p w:rsidR="0069624D" w:rsidRPr="00B613B7" w:rsidRDefault="00741388" w:rsidP="009D5715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t>Th</w:t>
      </w:r>
      <w:r w:rsidR="00E72294" w:rsidRPr="00B613B7">
        <w:rPr>
          <w:rFonts w:cstheme="minorHAnsi"/>
          <w:sz w:val="24"/>
          <w:szCs w:val="24"/>
        </w:rPr>
        <w:t>is is especially true as th</w:t>
      </w:r>
      <w:r w:rsidRPr="00B613B7">
        <w:rPr>
          <w:rFonts w:cstheme="minorHAnsi"/>
          <w:sz w:val="24"/>
          <w:szCs w:val="24"/>
        </w:rPr>
        <w:t>ere’s a growing demand for associate’s degrees on the labor market. E</w:t>
      </w:r>
      <w:r w:rsidR="009D5715" w:rsidRPr="00B613B7">
        <w:rPr>
          <w:rFonts w:cstheme="minorHAnsi"/>
          <w:sz w:val="24"/>
          <w:szCs w:val="24"/>
        </w:rPr>
        <w:t xml:space="preserve">conomists project the majority of jobs – 65 percent – will require postsecondary education of some form by 2020, </w:t>
      </w:r>
      <w:r w:rsidR="00E72294" w:rsidRPr="00B613B7">
        <w:rPr>
          <w:rFonts w:cstheme="minorHAnsi"/>
          <w:sz w:val="24"/>
          <w:szCs w:val="24"/>
        </w:rPr>
        <w:t xml:space="preserve">and </w:t>
      </w:r>
      <w:r w:rsidR="009D5715" w:rsidRPr="00B613B7">
        <w:rPr>
          <w:rFonts w:cstheme="minorHAnsi"/>
          <w:sz w:val="24"/>
          <w:szCs w:val="24"/>
        </w:rPr>
        <w:t>30 percent</w:t>
      </w:r>
      <w:r w:rsidR="00E72294" w:rsidRPr="00B613B7">
        <w:rPr>
          <w:rFonts w:cstheme="minorHAnsi"/>
          <w:sz w:val="24"/>
          <w:szCs w:val="24"/>
        </w:rPr>
        <w:t xml:space="preserve"> of those jobs</w:t>
      </w:r>
      <w:r w:rsidR="009D5715" w:rsidRPr="00B613B7">
        <w:rPr>
          <w:rFonts w:cstheme="minorHAnsi"/>
          <w:sz w:val="24"/>
          <w:szCs w:val="24"/>
        </w:rPr>
        <w:t xml:space="preserve"> will require postsecondary pathways</w:t>
      </w:r>
      <w:r w:rsidR="00E72294" w:rsidRPr="00B613B7">
        <w:rPr>
          <w:rFonts w:cstheme="minorHAnsi"/>
          <w:sz w:val="24"/>
          <w:szCs w:val="24"/>
        </w:rPr>
        <w:t xml:space="preserve"> other than a four-year bachelor’s degree, including</w:t>
      </w:r>
      <w:r w:rsidR="009D5715" w:rsidRPr="00B613B7">
        <w:rPr>
          <w:rFonts w:cstheme="minorHAnsi"/>
          <w:sz w:val="24"/>
          <w:szCs w:val="24"/>
        </w:rPr>
        <w:t xml:space="preserve"> </w:t>
      </w:r>
      <w:r w:rsidR="00E72294" w:rsidRPr="00B613B7">
        <w:rPr>
          <w:rFonts w:cstheme="minorHAnsi"/>
          <w:sz w:val="24"/>
          <w:szCs w:val="24"/>
        </w:rPr>
        <w:t>associate’s degrees. M</w:t>
      </w:r>
      <w:r w:rsidR="009D5715" w:rsidRPr="00B613B7">
        <w:rPr>
          <w:rFonts w:cstheme="minorHAnsi"/>
          <w:sz w:val="24"/>
          <w:szCs w:val="24"/>
        </w:rPr>
        <w:t>any of th</w:t>
      </w:r>
      <w:r w:rsidRPr="00B613B7">
        <w:rPr>
          <w:rFonts w:cstheme="minorHAnsi"/>
          <w:sz w:val="24"/>
          <w:szCs w:val="24"/>
        </w:rPr>
        <w:t>os</w:t>
      </w:r>
      <w:r w:rsidR="009D5715" w:rsidRPr="00B613B7">
        <w:rPr>
          <w:rFonts w:cstheme="minorHAnsi"/>
          <w:sz w:val="24"/>
          <w:szCs w:val="24"/>
        </w:rPr>
        <w:t xml:space="preserve">e </w:t>
      </w:r>
      <w:r w:rsidR="00E72294" w:rsidRPr="00B613B7">
        <w:rPr>
          <w:rFonts w:cstheme="minorHAnsi"/>
          <w:sz w:val="24"/>
          <w:szCs w:val="24"/>
        </w:rPr>
        <w:t xml:space="preserve">non-bachelor’s </w:t>
      </w:r>
      <w:r w:rsidR="009D5715" w:rsidRPr="00B613B7">
        <w:rPr>
          <w:rFonts w:cstheme="minorHAnsi"/>
          <w:sz w:val="24"/>
          <w:szCs w:val="24"/>
        </w:rPr>
        <w:t>jobs pay livable, middle-class wages.</w:t>
      </w:r>
    </w:p>
    <w:p w:rsidR="00B613B7" w:rsidRDefault="00B613B7" w:rsidP="009D5715">
      <w:pPr>
        <w:rPr>
          <w:rFonts w:cstheme="minorHAnsi"/>
          <w:sz w:val="24"/>
          <w:szCs w:val="24"/>
        </w:rPr>
      </w:pPr>
    </w:p>
    <w:p w:rsidR="004D10E3" w:rsidRPr="00B613B7" w:rsidRDefault="004D10E3" w:rsidP="009D5715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t xml:space="preserve">“The focus on reverse transfer through </w:t>
      </w:r>
      <w:r w:rsidRPr="00B613B7">
        <w:rPr>
          <w:rFonts w:cstheme="minorHAnsi"/>
          <w:i/>
          <w:sz w:val="24"/>
          <w:szCs w:val="24"/>
        </w:rPr>
        <w:t>Credit When It’s Due</w:t>
      </w:r>
      <w:r w:rsidRPr="00B613B7">
        <w:rPr>
          <w:rFonts w:cstheme="minorHAnsi"/>
          <w:sz w:val="24"/>
          <w:szCs w:val="24"/>
        </w:rPr>
        <w:t xml:space="preserve"> </w:t>
      </w:r>
      <w:r w:rsidR="00BD43EC" w:rsidRPr="00B613B7">
        <w:rPr>
          <w:rFonts w:cstheme="minorHAnsi"/>
          <w:sz w:val="24"/>
          <w:szCs w:val="24"/>
        </w:rPr>
        <w:t>has enabled us to makes strides as a nation in</w:t>
      </w:r>
      <w:r w:rsidRPr="00B613B7">
        <w:rPr>
          <w:rFonts w:cstheme="minorHAnsi"/>
          <w:sz w:val="24"/>
          <w:szCs w:val="24"/>
        </w:rPr>
        <w:t xml:space="preserve"> elevating conversations about the value of the associate’s degree,” said Jamie P. Merisotis, President and CEO of Lumina Foundation. “This </w:t>
      </w:r>
      <w:r w:rsidR="00E72294" w:rsidRPr="00B613B7">
        <w:rPr>
          <w:rFonts w:cstheme="minorHAnsi"/>
          <w:sz w:val="24"/>
          <w:szCs w:val="24"/>
        </w:rPr>
        <w:t xml:space="preserve">effort </w:t>
      </w:r>
      <w:r w:rsidRPr="00B613B7">
        <w:rPr>
          <w:rFonts w:cstheme="minorHAnsi"/>
          <w:sz w:val="24"/>
          <w:szCs w:val="24"/>
        </w:rPr>
        <w:t>help</w:t>
      </w:r>
      <w:r w:rsidR="00E72294" w:rsidRPr="00B613B7">
        <w:rPr>
          <w:rFonts w:cstheme="minorHAnsi"/>
          <w:sz w:val="24"/>
          <w:szCs w:val="24"/>
        </w:rPr>
        <w:t>s</w:t>
      </w:r>
      <w:r w:rsidRPr="00B613B7">
        <w:rPr>
          <w:rFonts w:cstheme="minorHAnsi"/>
          <w:sz w:val="24"/>
          <w:szCs w:val="24"/>
        </w:rPr>
        <w:t xml:space="preserve"> improve </w:t>
      </w:r>
      <w:r w:rsidR="00B613B7">
        <w:rPr>
          <w:rFonts w:cstheme="minorHAnsi"/>
          <w:sz w:val="24"/>
          <w:szCs w:val="24"/>
        </w:rPr>
        <w:t xml:space="preserve">students’ </w:t>
      </w:r>
      <w:r w:rsidRPr="00B613B7">
        <w:rPr>
          <w:rFonts w:cstheme="minorHAnsi"/>
          <w:sz w:val="24"/>
          <w:szCs w:val="24"/>
        </w:rPr>
        <w:t xml:space="preserve">ability to land </w:t>
      </w:r>
      <w:r w:rsidR="00E72294" w:rsidRPr="00B613B7">
        <w:rPr>
          <w:rFonts w:cstheme="minorHAnsi"/>
          <w:sz w:val="24"/>
          <w:szCs w:val="24"/>
        </w:rPr>
        <w:t xml:space="preserve">high </w:t>
      </w:r>
      <w:r w:rsidRPr="00B613B7">
        <w:rPr>
          <w:rFonts w:cstheme="minorHAnsi"/>
          <w:sz w:val="24"/>
          <w:szCs w:val="24"/>
        </w:rPr>
        <w:t xml:space="preserve">quality jobs while </w:t>
      </w:r>
      <w:r w:rsidR="00E72294" w:rsidRPr="00B613B7">
        <w:rPr>
          <w:rFonts w:cstheme="minorHAnsi"/>
          <w:sz w:val="24"/>
          <w:szCs w:val="24"/>
        </w:rPr>
        <w:t>developing and deploying the</w:t>
      </w:r>
      <w:r w:rsidRPr="00B613B7">
        <w:rPr>
          <w:rFonts w:cstheme="minorHAnsi"/>
          <w:sz w:val="24"/>
          <w:szCs w:val="24"/>
        </w:rPr>
        <w:t xml:space="preserve"> talent</w:t>
      </w:r>
      <w:r w:rsidR="00E72294" w:rsidRPr="00B613B7">
        <w:rPr>
          <w:rFonts w:cstheme="minorHAnsi"/>
          <w:sz w:val="24"/>
          <w:szCs w:val="24"/>
        </w:rPr>
        <w:t xml:space="preserve"> needed for </w:t>
      </w:r>
      <w:r w:rsidR="00B613B7">
        <w:rPr>
          <w:rFonts w:cstheme="minorHAnsi"/>
          <w:sz w:val="24"/>
          <w:szCs w:val="24"/>
        </w:rPr>
        <w:t>the 21</w:t>
      </w:r>
      <w:r w:rsidR="00B613B7" w:rsidRPr="00B613B7">
        <w:rPr>
          <w:rFonts w:cstheme="minorHAnsi"/>
          <w:sz w:val="24"/>
          <w:szCs w:val="24"/>
          <w:vertAlign w:val="superscript"/>
        </w:rPr>
        <w:t>st</w:t>
      </w:r>
      <w:r w:rsidR="00B613B7">
        <w:rPr>
          <w:rFonts w:cstheme="minorHAnsi"/>
          <w:sz w:val="24"/>
          <w:szCs w:val="24"/>
        </w:rPr>
        <w:t xml:space="preserve"> Century</w:t>
      </w:r>
      <w:r w:rsidRPr="00B613B7">
        <w:rPr>
          <w:rFonts w:cstheme="minorHAnsi"/>
          <w:sz w:val="24"/>
          <w:szCs w:val="24"/>
        </w:rPr>
        <w:t>.”</w:t>
      </w:r>
    </w:p>
    <w:p w:rsidR="0069624D" w:rsidRPr="00B613B7" w:rsidRDefault="0069624D" w:rsidP="00BD43EC">
      <w:pPr>
        <w:rPr>
          <w:rFonts w:cstheme="minorHAnsi"/>
          <w:sz w:val="24"/>
          <w:szCs w:val="24"/>
        </w:rPr>
      </w:pPr>
    </w:p>
    <w:p w:rsidR="00741388" w:rsidRPr="00B613B7" w:rsidRDefault="00E72294" w:rsidP="00BD43EC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lastRenderedPageBreak/>
        <w:t xml:space="preserve">Through </w:t>
      </w:r>
      <w:r w:rsidR="009D5715" w:rsidRPr="00B613B7">
        <w:rPr>
          <w:rFonts w:cstheme="minorHAnsi"/>
          <w:i/>
          <w:sz w:val="24"/>
          <w:szCs w:val="24"/>
        </w:rPr>
        <w:t>Credit When It’s Due</w:t>
      </w:r>
      <w:r w:rsidRPr="00B613B7">
        <w:rPr>
          <w:rFonts w:cstheme="minorHAnsi"/>
          <w:sz w:val="24"/>
          <w:szCs w:val="24"/>
        </w:rPr>
        <w:t>,</w:t>
      </w:r>
      <w:r w:rsidR="009D5715" w:rsidRPr="00B613B7">
        <w:rPr>
          <w:rFonts w:cstheme="minorHAnsi"/>
          <w:sz w:val="24"/>
          <w:szCs w:val="24"/>
        </w:rPr>
        <w:t xml:space="preserve"> </w:t>
      </w:r>
      <w:r w:rsidRPr="00B613B7">
        <w:rPr>
          <w:rFonts w:cstheme="minorHAnsi"/>
          <w:sz w:val="24"/>
          <w:szCs w:val="24"/>
        </w:rPr>
        <w:t>the s</w:t>
      </w:r>
      <w:r w:rsidR="00BD43EC" w:rsidRPr="00B613B7">
        <w:rPr>
          <w:rFonts w:cstheme="minorHAnsi"/>
          <w:sz w:val="24"/>
          <w:szCs w:val="24"/>
        </w:rPr>
        <w:t>ix</w:t>
      </w:r>
      <w:r w:rsidRPr="00B613B7">
        <w:rPr>
          <w:rFonts w:cstheme="minorHAnsi"/>
          <w:sz w:val="24"/>
          <w:szCs w:val="24"/>
        </w:rPr>
        <w:t xml:space="preserve"> foundations provided </w:t>
      </w:r>
      <w:r w:rsidR="009D5715" w:rsidRPr="00B613B7">
        <w:rPr>
          <w:rFonts w:cstheme="minorHAnsi"/>
          <w:sz w:val="24"/>
          <w:szCs w:val="24"/>
        </w:rPr>
        <w:t>funding for</w:t>
      </w:r>
      <w:r w:rsidR="009C2E15">
        <w:rPr>
          <w:rFonts w:cstheme="minorHAnsi"/>
          <w:sz w:val="24"/>
          <w:szCs w:val="24"/>
        </w:rPr>
        <w:t xml:space="preserve"> 495</w:t>
      </w:r>
      <w:r w:rsidRPr="00B613B7">
        <w:rPr>
          <w:rFonts w:cstheme="minorHAnsi"/>
          <w:sz w:val="24"/>
          <w:szCs w:val="24"/>
        </w:rPr>
        <w:t xml:space="preserve"> </w:t>
      </w:r>
      <w:r w:rsidR="00741388" w:rsidRPr="00B613B7">
        <w:rPr>
          <w:rFonts w:cstheme="minorHAnsi"/>
          <w:sz w:val="24"/>
          <w:szCs w:val="24"/>
        </w:rPr>
        <w:t>colleges and universities</w:t>
      </w:r>
      <w:r w:rsidRPr="00B613B7">
        <w:rPr>
          <w:rFonts w:cstheme="minorHAnsi"/>
          <w:sz w:val="24"/>
          <w:szCs w:val="24"/>
        </w:rPr>
        <w:t xml:space="preserve"> in 15 states to implement the </w:t>
      </w:r>
      <w:r w:rsidR="009D5715" w:rsidRPr="00B613B7">
        <w:rPr>
          <w:rFonts w:cstheme="minorHAnsi"/>
          <w:sz w:val="24"/>
          <w:szCs w:val="24"/>
        </w:rPr>
        <w:t xml:space="preserve">technology </w:t>
      </w:r>
      <w:r w:rsidRPr="00B613B7">
        <w:rPr>
          <w:rFonts w:cstheme="minorHAnsi"/>
          <w:sz w:val="24"/>
          <w:szCs w:val="24"/>
        </w:rPr>
        <w:t xml:space="preserve">and </w:t>
      </w:r>
      <w:r w:rsidR="009D5715" w:rsidRPr="00B613B7">
        <w:rPr>
          <w:rFonts w:cstheme="minorHAnsi"/>
          <w:sz w:val="24"/>
          <w:szCs w:val="24"/>
        </w:rPr>
        <w:t xml:space="preserve">processes </w:t>
      </w:r>
      <w:r w:rsidRPr="00B613B7">
        <w:rPr>
          <w:rFonts w:cstheme="minorHAnsi"/>
          <w:sz w:val="24"/>
          <w:szCs w:val="24"/>
        </w:rPr>
        <w:t xml:space="preserve">needed </w:t>
      </w:r>
      <w:r w:rsidR="009D5715" w:rsidRPr="00B613B7">
        <w:rPr>
          <w:rFonts w:cstheme="minorHAnsi"/>
          <w:sz w:val="24"/>
          <w:szCs w:val="24"/>
        </w:rPr>
        <w:t xml:space="preserve">to </w:t>
      </w:r>
      <w:r w:rsidRPr="00B613B7">
        <w:rPr>
          <w:rFonts w:cstheme="minorHAnsi"/>
          <w:sz w:val="24"/>
          <w:szCs w:val="24"/>
        </w:rPr>
        <w:t>support</w:t>
      </w:r>
      <w:r w:rsidR="009D5715" w:rsidRPr="00B613B7">
        <w:rPr>
          <w:rFonts w:cstheme="minorHAnsi"/>
          <w:sz w:val="24"/>
          <w:szCs w:val="24"/>
        </w:rPr>
        <w:t xml:space="preserve"> reverse transfer. </w:t>
      </w:r>
      <w:r w:rsidRPr="00B613B7">
        <w:rPr>
          <w:rFonts w:cstheme="minorHAnsi"/>
          <w:sz w:val="24"/>
          <w:szCs w:val="24"/>
        </w:rPr>
        <w:t>T</w:t>
      </w:r>
      <w:r w:rsidR="00741388" w:rsidRPr="00B613B7">
        <w:rPr>
          <w:rFonts w:cstheme="minorHAnsi"/>
          <w:sz w:val="24"/>
          <w:szCs w:val="24"/>
        </w:rPr>
        <w:t xml:space="preserve">he initiative </w:t>
      </w:r>
      <w:r w:rsidRPr="00B613B7">
        <w:rPr>
          <w:rFonts w:cstheme="minorHAnsi"/>
          <w:sz w:val="24"/>
          <w:szCs w:val="24"/>
        </w:rPr>
        <w:t>also enabled</w:t>
      </w:r>
      <w:r w:rsidR="00741388" w:rsidRPr="00B613B7">
        <w:rPr>
          <w:rFonts w:cstheme="minorHAnsi"/>
          <w:sz w:val="24"/>
          <w:szCs w:val="24"/>
        </w:rPr>
        <w:t xml:space="preserve"> the Office of Community College Research and Leadership (OCCRL) at the University of Illinois at Urbana-Champaign to research best practices</w:t>
      </w:r>
      <w:r w:rsidRPr="00B613B7">
        <w:rPr>
          <w:rFonts w:cstheme="minorHAnsi"/>
          <w:sz w:val="24"/>
          <w:szCs w:val="24"/>
        </w:rPr>
        <w:t xml:space="preserve"> in reverse transfer </w:t>
      </w:r>
      <w:r w:rsidR="00741388" w:rsidRPr="00B613B7">
        <w:rPr>
          <w:rFonts w:cstheme="minorHAnsi"/>
          <w:sz w:val="24"/>
          <w:szCs w:val="24"/>
        </w:rPr>
        <w:t>so they can be replicated.</w:t>
      </w:r>
    </w:p>
    <w:p w:rsidR="004D10E3" w:rsidRPr="00B613B7" w:rsidRDefault="004D10E3" w:rsidP="009019A4">
      <w:pPr>
        <w:rPr>
          <w:rFonts w:cstheme="minorHAnsi"/>
          <w:sz w:val="24"/>
          <w:szCs w:val="24"/>
        </w:rPr>
      </w:pPr>
    </w:p>
    <w:p w:rsidR="006C3B2C" w:rsidRPr="00B613B7" w:rsidRDefault="00741388" w:rsidP="0074743B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t>“</w:t>
      </w:r>
      <w:r w:rsidRPr="00B613B7">
        <w:rPr>
          <w:rFonts w:cstheme="minorHAnsi"/>
          <w:i/>
          <w:sz w:val="24"/>
          <w:szCs w:val="24"/>
        </w:rPr>
        <w:t>Credit When It’s Due</w:t>
      </w:r>
      <w:r w:rsidRPr="00B613B7">
        <w:rPr>
          <w:rFonts w:cstheme="minorHAnsi"/>
          <w:sz w:val="24"/>
          <w:szCs w:val="24"/>
        </w:rPr>
        <w:t xml:space="preserve"> and reverse transfer are shedding light on students who have been invisible within the higher education system,” said Debra D. Bragg, founding director of the </w:t>
      </w:r>
      <w:r w:rsidR="00342FAC" w:rsidRPr="00B613B7">
        <w:rPr>
          <w:rFonts w:cstheme="minorHAnsi"/>
          <w:sz w:val="24"/>
          <w:szCs w:val="24"/>
        </w:rPr>
        <w:t xml:space="preserve">University of Illinois’ </w:t>
      </w:r>
      <w:r w:rsidRPr="00B613B7">
        <w:rPr>
          <w:rFonts w:cstheme="minorHAnsi"/>
          <w:sz w:val="24"/>
          <w:szCs w:val="24"/>
        </w:rPr>
        <w:t xml:space="preserve">OCCRL. </w:t>
      </w:r>
      <w:r w:rsidR="004D10E3" w:rsidRPr="00B613B7">
        <w:rPr>
          <w:rFonts w:cstheme="minorHAnsi"/>
          <w:sz w:val="24"/>
          <w:szCs w:val="24"/>
        </w:rPr>
        <w:t>“Through this work</w:t>
      </w:r>
      <w:r w:rsidR="00BD43EC" w:rsidRPr="00B613B7">
        <w:rPr>
          <w:rFonts w:cstheme="minorHAnsi"/>
          <w:sz w:val="24"/>
          <w:szCs w:val="24"/>
        </w:rPr>
        <w:t>,</w:t>
      </w:r>
      <w:r w:rsidR="004D10E3" w:rsidRPr="00B613B7">
        <w:rPr>
          <w:rFonts w:cstheme="minorHAnsi"/>
          <w:sz w:val="24"/>
          <w:szCs w:val="24"/>
        </w:rPr>
        <w:t xml:space="preserve"> we’ve learned </w:t>
      </w:r>
      <w:r w:rsidR="0074743B" w:rsidRPr="00B613B7">
        <w:rPr>
          <w:rFonts w:cstheme="minorHAnsi"/>
          <w:sz w:val="24"/>
          <w:szCs w:val="24"/>
        </w:rPr>
        <w:t xml:space="preserve">what it takes to </w:t>
      </w:r>
      <w:r w:rsidR="004D10E3" w:rsidRPr="00B613B7">
        <w:rPr>
          <w:rFonts w:cstheme="minorHAnsi"/>
          <w:sz w:val="24"/>
          <w:szCs w:val="24"/>
        </w:rPr>
        <w:t>ensure</w:t>
      </w:r>
      <w:r w:rsidR="0074743B" w:rsidRPr="00B613B7">
        <w:rPr>
          <w:rFonts w:cstheme="minorHAnsi"/>
          <w:sz w:val="24"/>
          <w:szCs w:val="24"/>
        </w:rPr>
        <w:t xml:space="preserve"> reverse transfer </w:t>
      </w:r>
      <w:r w:rsidR="004D10E3" w:rsidRPr="00B613B7">
        <w:rPr>
          <w:rFonts w:cstheme="minorHAnsi"/>
          <w:sz w:val="24"/>
          <w:szCs w:val="24"/>
        </w:rPr>
        <w:t>programs</w:t>
      </w:r>
      <w:r w:rsidR="00342FAC" w:rsidRPr="00B613B7">
        <w:rPr>
          <w:rFonts w:cstheme="minorHAnsi"/>
          <w:sz w:val="24"/>
          <w:szCs w:val="24"/>
        </w:rPr>
        <w:t xml:space="preserve"> are effective</w:t>
      </w:r>
      <w:r w:rsidR="004D10E3" w:rsidRPr="00B613B7">
        <w:rPr>
          <w:rFonts w:cstheme="minorHAnsi"/>
          <w:sz w:val="24"/>
          <w:szCs w:val="24"/>
        </w:rPr>
        <w:t xml:space="preserve"> so we can maximize their impact for students who can most benefit from them.</w:t>
      </w:r>
      <w:r w:rsidR="0074743B" w:rsidRPr="00B613B7">
        <w:rPr>
          <w:rFonts w:cstheme="minorHAnsi"/>
          <w:sz w:val="24"/>
          <w:szCs w:val="24"/>
        </w:rPr>
        <w:t>”</w:t>
      </w:r>
    </w:p>
    <w:p w:rsidR="006C3B2C" w:rsidRPr="00B613B7" w:rsidRDefault="006C3B2C" w:rsidP="00990814">
      <w:pPr>
        <w:rPr>
          <w:rFonts w:cstheme="minorHAnsi"/>
          <w:sz w:val="24"/>
          <w:szCs w:val="24"/>
        </w:rPr>
      </w:pPr>
    </w:p>
    <w:p w:rsidR="00670CDF" w:rsidRPr="00B613B7" w:rsidRDefault="001D4AAC" w:rsidP="00990814">
      <w:pPr>
        <w:rPr>
          <w:rFonts w:cstheme="minorHAnsi"/>
          <w:sz w:val="24"/>
          <w:szCs w:val="24"/>
        </w:rPr>
      </w:pPr>
      <w:r w:rsidRPr="00B613B7">
        <w:rPr>
          <w:rFonts w:cstheme="minorHAnsi"/>
          <w:sz w:val="24"/>
          <w:szCs w:val="24"/>
        </w:rPr>
        <w:t xml:space="preserve">More information about reverse transfer and the </w:t>
      </w:r>
      <w:r w:rsidR="00F82916" w:rsidRPr="00B613B7">
        <w:rPr>
          <w:rFonts w:cstheme="minorHAnsi"/>
          <w:i/>
          <w:sz w:val="24"/>
          <w:szCs w:val="24"/>
        </w:rPr>
        <w:t>Credit</w:t>
      </w:r>
      <w:r w:rsidRPr="00B613B7">
        <w:rPr>
          <w:rFonts w:cstheme="minorHAnsi"/>
          <w:i/>
          <w:sz w:val="24"/>
          <w:szCs w:val="24"/>
        </w:rPr>
        <w:t xml:space="preserve"> When It’s Due</w:t>
      </w:r>
      <w:r w:rsidRPr="00B613B7">
        <w:rPr>
          <w:rFonts w:cstheme="minorHAnsi"/>
          <w:sz w:val="24"/>
          <w:szCs w:val="24"/>
        </w:rPr>
        <w:t xml:space="preserve"> initiative is available at: </w:t>
      </w:r>
      <w:hyperlink r:id="rId8" w:history="1">
        <w:r w:rsidR="009A7326" w:rsidRPr="00B613B7">
          <w:rPr>
            <w:rStyle w:val="Hyperlink"/>
            <w:rFonts w:cstheme="minorHAnsi"/>
            <w:sz w:val="24"/>
            <w:szCs w:val="24"/>
          </w:rPr>
          <w:t>http://occrl.illinois.edu/</w:t>
        </w:r>
      </w:hyperlink>
    </w:p>
    <w:p w:rsidR="00DE4A75" w:rsidRPr="00B613B7" w:rsidRDefault="00DE4A75" w:rsidP="00990814">
      <w:pPr>
        <w:rPr>
          <w:rFonts w:cstheme="minorHAnsi"/>
          <w:sz w:val="24"/>
          <w:szCs w:val="24"/>
        </w:rPr>
      </w:pPr>
    </w:p>
    <w:p w:rsidR="00DE4A75" w:rsidRPr="00E72294" w:rsidRDefault="00DE4A75" w:rsidP="00DE4A75">
      <w:pPr>
        <w:jc w:val="center"/>
        <w:rPr>
          <w:rFonts w:cstheme="minorHAnsi"/>
        </w:rPr>
      </w:pPr>
      <w:r w:rsidRPr="00B613B7">
        <w:rPr>
          <w:rFonts w:cstheme="minorHAnsi"/>
          <w:sz w:val="24"/>
          <w:szCs w:val="24"/>
        </w:rPr>
        <w:t>#</w:t>
      </w:r>
      <w:r w:rsidR="00F43A00" w:rsidRPr="00B613B7">
        <w:rPr>
          <w:rFonts w:cstheme="minorHAnsi"/>
          <w:sz w:val="24"/>
          <w:szCs w:val="24"/>
        </w:rPr>
        <w:t xml:space="preserve"> </w:t>
      </w:r>
      <w:r w:rsidRPr="00B613B7">
        <w:rPr>
          <w:rFonts w:cstheme="minorHAnsi"/>
          <w:sz w:val="24"/>
          <w:szCs w:val="24"/>
        </w:rPr>
        <w:t>#</w:t>
      </w:r>
      <w:r w:rsidR="00F43A00" w:rsidRPr="00E72294">
        <w:rPr>
          <w:rFonts w:cstheme="minorHAnsi"/>
        </w:rPr>
        <w:t xml:space="preserve"> </w:t>
      </w:r>
      <w:r w:rsidRPr="00E72294">
        <w:rPr>
          <w:rFonts w:cstheme="minorHAnsi"/>
        </w:rPr>
        <w:t>#</w:t>
      </w:r>
    </w:p>
    <w:p w:rsidR="00717491" w:rsidRPr="00E72294" w:rsidRDefault="00717491" w:rsidP="009019A4">
      <w:pPr>
        <w:rPr>
          <w:rFonts w:cstheme="minorHAnsi"/>
        </w:rPr>
      </w:pPr>
    </w:p>
    <w:p w:rsidR="009019A4" w:rsidRPr="00E72294" w:rsidRDefault="009019A4" w:rsidP="009019A4">
      <w:pPr>
        <w:rPr>
          <w:rFonts w:cstheme="minorHAnsi"/>
        </w:rPr>
      </w:pPr>
    </w:p>
    <w:p w:rsidR="009019A4" w:rsidRPr="00E72294" w:rsidRDefault="009019A4" w:rsidP="009019A4">
      <w:pPr>
        <w:rPr>
          <w:rFonts w:cstheme="minorHAnsi"/>
        </w:rPr>
      </w:pPr>
    </w:p>
    <w:p w:rsidR="00852D14" w:rsidRPr="00E72294" w:rsidRDefault="00852D14">
      <w:pPr>
        <w:rPr>
          <w:rFonts w:cstheme="minorHAnsi"/>
        </w:rPr>
      </w:pPr>
    </w:p>
    <w:p w:rsidR="00852D14" w:rsidRPr="00E72294" w:rsidRDefault="00852D14">
      <w:pPr>
        <w:rPr>
          <w:rFonts w:cstheme="minorHAnsi"/>
        </w:rPr>
      </w:pPr>
    </w:p>
    <w:sectPr w:rsidR="00852D14" w:rsidRPr="00E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1B" w:rsidRDefault="00ED7C1B" w:rsidP="009019A4">
      <w:r>
        <w:separator/>
      </w:r>
    </w:p>
  </w:endnote>
  <w:endnote w:type="continuationSeparator" w:id="0">
    <w:p w:rsidR="00ED7C1B" w:rsidRDefault="00ED7C1B" w:rsidP="009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1B" w:rsidRDefault="00ED7C1B" w:rsidP="009019A4">
      <w:r>
        <w:separator/>
      </w:r>
    </w:p>
  </w:footnote>
  <w:footnote w:type="continuationSeparator" w:id="0">
    <w:p w:rsidR="00ED7C1B" w:rsidRDefault="00ED7C1B" w:rsidP="0090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813"/>
    <w:multiLevelType w:val="hybridMultilevel"/>
    <w:tmpl w:val="C5E6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107"/>
    <w:multiLevelType w:val="hybridMultilevel"/>
    <w:tmpl w:val="65F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14"/>
    <w:rsid w:val="000562D0"/>
    <w:rsid w:val="000911EB"/>
    <w:rsid w:val="000A0060"/>
    <w:rsid w:val="000A4553"/>
    <w:rsid w:val="000A5785"/>
    <w:rsid w:val="000B4205"/>
    <w:rsid w:val="0010371B"/>
    <w:rsid w:val="00165B4E"/>
    <w:rsid w:val="00173394"/>
    <w:rsid w:val="001D4AAC"/>
    <w:rsid w:val="00212109"/>
    <w:rsid w:val="00236F1F"/>
    <w:rsid w:val="00244F60"/>
    <w:rsid w:val="0027538E"/>
    <w:rsid w:val="002A5403"/>
    <w:rsid w:val="002A5A8C"/>
    <w:rsid w:val="002B6E31"/>
    <w:rsid w:val="00312CC7"/>
    <w:rsid w:val="00315C8C"/>
    <w:rsid w:val="00342FAC"/>
    <w:rsid w:val="00371390"/>
    <w:rsid w:val="003B31D9"/>
    <w:rsid w:val="003C75FB"/>
    <w:rsid w:val="003F65E7"/>
    <w:rsid w:val="00404FEE"/>
    <w:rsid w:val="004102D7"/>
    <w:rsid w:val="00437175"/>
    <w:rsid w:val="00476C91"/>
    <w:rsid w:val="00491996"/>
    <w:rsid w:val="004D10E3"/>
    <w:rsid w:val="005064C7"/>
    <w:rsid w:val="005130F9"/>
    <w:rsid w:val="00515481"/>
    <w:rsid w:val="00543DEA"/>
    <w:rsid w:val="005601CB"/>
    <w:rsid w:val="00582F7E"/>
    <w:rsid w:val="005B5316"/>
    <w:rsid w:val="005F3518"/>
    <w:rsid w:val="006063CC"/>
    <w:rsid w:val="00647636"/>
    <w:rsid w:val="00670CDF"/>
    <w:rsid w:val="0069624D"/>
    <w:rsid w:val="006A5EC8"/>
    <w:rsid w:val="006C3B2C"/>
    <w:rsid w:val="00717491"/>
    <w:rsid w:val="00717E12"/>
    <w:rsid w:val="0073781E"/>
    <w:rsid w:val="00741388"/>
    <w:rsid w:val="0074743B"/>
    <w:rsid w:val="00754355"/>
    <w:rsid w:val="0077045A"/>
    <w:rsid w:val="007922E5"/>
    <w:rsid w:val="00796BEB"/>
    <w:rsid w:val="007B34F5"/>
    <w:rsid w:val="007E125E"/>
    <w:rsid w:val="007E60A9"/>
    <w:rsid w:val="00801ACF"/>
    <w:rsid w:val="0080620F"/>
    <w:rsid w:val="008335CB"/>
    <w:rsid w:val="00852D14"/>
    <w:rsid w:val="00886B38"/>
    <w:rsid w:val="009019A4"/>
    <w:rsid w:val="00935085"/>
    <w:rsid w:val="00935CF4"/>
    <w:rsid w:val="009725C7"/>
    <w:rsid w:val="009748C4"/>
    <w:rsid w:val="00987E26"/>
    <w:rsid w:val="00990814"/>
    <w:rsid w:val="009A7326"/>
    <w:rsid w:val="009C2E15"/>
    <w:rsid w:val="009D5715"/>
    <w:rsid w:val="009E261A"/>
    <w:rsid w:val="00A06510"/>
    <w:rsid w:val="00A43C7B"/>
    <w:rsid w:val="00A53A34"/>
    <w:rsid w:val="00A66A5F"/>
    <w:rsid w:val="00A96D00"/>
    <w:rsid w:val="00AA312D"/>
    <w:rsid w:val="00AB6410"/>
    <w:rsid w:val="00AE2707"/>
    <w:rsid w:val="00AE3FEB"/>
    <w:rsid w:val="00B31DE8"/>
    <w:rsid w:val="00B4439B"/>
    <w:rsid w:val="00B613B7"/>
    <w:rsid w:val="00BC080E"/>
    <w:rsid w:val="00BC5C9E"/>
    <w:rsid w:val="00BD43EC"/>
    <w:rsid w:val="00BF6598"/>
    <w:rsid w:val="00C439FC"/>
    <w:rsid w:val="00C53531"/>
    <w:rsid w:val="00C80A35"/>
    <w:rsid w:val="00CF4B96"/>
    <w:rsid w:val="00CF7C0A"/>
    <w:rsid w:val="00D511F8"/>
    <w:rsid w:val="00D82E29"/>
    <w:rsid w:val="00DA19BA"/>
    <w:rsid w:val="00DE4A75"/>
    <w:rsid w:val="00E10FC6"/>
    <w:rsid w:val="00E119C7"/>
    <w:rsid w:val="00E345F3"/>
    <w:rsid w:val="00E72294"/>
    <w:rsid w:val="00E726D9"/>
    <w:rsid w:val="00E77518"/>
    <w:rsid w:val="00E90DD8"/>
    <w:rsid w:val="00EB4874"/>
    <w:rsid w:val="00ED7C1B"/>
    <w:rsid w:val="00EE2C5B"/>
    <w:rsid w:val="00F160A3"/>
    <w:rsid w:val="00F32E03"/>
    <w:rsid w:val="00F43A00"/>
    <w:rsid w:val="00F82916"/>
    <w:rsid w:val="00F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58F9E-004F-4B27-8980-258B2B6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A4"/>
  </w:style>
  <w:style w:type="paragraph" w:styleId="Footer">
    <w:name w:val="footer"/>
    <w:basedOn w:val="Normal"/>
    <w:link w:val="FooterChar"/>
    <w:uiPriority w:val="99"/>
    <w:unhideWhenUsed/>
    <w:rsid w:val="00901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A4"/>
  </w:style>
  <w:style w:type="character" w:styleId="CommentReference">
    <w:name w:val="annotation reference"/>
    <w:basedOn w:val="DefaultParagraphFont"/>
    <w:uiPriority w:val="99"/>
    <w:semiHidden/>
    <w:unhideWhenUsed/>
    <w:rsid w:val="007E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2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crl.illinois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3989-E04B-49D3-BEDC-78D0A25B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Lumina Foundation for Education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McDonald</dc:creator>
  <cp:lastModifiedBy>Fox, Heather L</cp:lastModifiedBy>
  <cp:revision>2</cp:revision>
  <cp:lastPrinted>2015-06-30T18:15:00Z</cp:lastPrinted>
  <dcterms:created xsi:type="dcterms:W3CDTF">2015-07-08T18:45:00Z</dcterms:created>
  <dcterms:modified xsi:type="dcterms:W3CDTF">2015-07-08T18:45:00Z</dcterms:modified>
</cp:coreProperties>
</file>